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480" w:firstLine="0" w:firstLineChars="0"/>
        <w:rPr>
          <w:rFonts w:ascii="宋体" w:hAnsi="宋体"/>
          <w:b/>
          <w:bCs/>
          <w:sz w:val="24"/>
          <w:szCs w:val="24"/>
        </w:rPr>
      </w:pPr>
      <w:bookmarkStart w:id="0" w:name="_Toc18223842"/>
      <w:r>
        <w:drawing>
          <wp:inline distT="0" distB="0" distL="0" distR="0">
            <wp:extent cx="5274310" cy="324993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distribute"/>
        <w:rPr>
          <w:rFonts w:ascii="华文新魏" w:eastAsia="华文新魏"/>
          <w:b/>
          <w:bCs/>
          <w:spacing w:val="-70"/>
          <w:sz w:val="72"/>
          <w:szCs w:val="72"/>
        </w:rPr>
      </w:pPr>
      <w:r>
        <w:rPr>
          <w:rFonts w:hint="eastAsia" w:ascii="华文新魏" w:eastAsia="华文新魏"/>
          <w:b/>
          <w:bCs/>
          <w:spacing w:val="-70"/>
          <w:sz w:val="72"/>
          <w:szCs w:val="72"/>
        </w:rPr>
        <w:t xml:space="preserve"> </w:t>
      </w:r>
    </w:p>
    <w:p>
      <w:pPr>
        <w:pStyle w:val="3"/>
        <w:ind w:left="480" w:firstLine="0" w:firstLineChars="0"/>
        <w:rPr>
          <w:rFonts w:hint="eastAsia" w:ascii="宋体" w:hAnsi="宋体"/>
          <w:b/>
          <w:bCs/>
          <w:sz w:val="24"/>
          <w:szCs w:val="24"/>
        </w:rPr>
      </w:pPr>
      <w:r>
        <w:rPr>
          <w:rFonts w:ascii="宋体" w:hAnsi="宋体"/>
          <w:b/>
          <w:bCs/>
        </w:rPr>
        <w:t xml:space="preserve"> </w:t>
      </w:r>
    </w:p>
    <w:p>
      <w:pPr>
        <w:pStyle w:val="3"/>
        <w:ind w:left="480" w:firstLine="422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 xml:space="preserve"> </w:t>
      </w:r>
    </w:p>
    <w:p>
      <w:pPr>
        <w:pStyle w:val="3"/>
        <w:ind w:left="480" w:firstLine="422"/>
        <w:rPr>
          <w:rFonts w:hint="eastAsia" w:ascii="宋体" w:hAnsi="宋体"/>
          <w:b/>
          <w:bCs/>
        </w:rPr>
      </w:pPr>
      <w:r>
        <w:rPr>
          <w:rFonts w:hint="eastAsia" w:ascii="宋体" w:hAnsi="宋体"/>
          <w:b/>
          <w:bCs/>
        </w:rPr>
        <w:t xml:space="preserve"> </w:t>
      </w:r>
    </w:p>
    <w:p>
      <w:pPr>
        <w:pStyle w:val="3"/>
        <w:ind w:left="480" w:firstLine="422"/>
        <w:rPr>
          <w:rFonts w:hint="eastAsia" w:ascii="宋体" w:hAnsi="宋体"/>
          <w:b/>
          <w:bCs/>
        </w:rPr>
      </w:pPr>
      <w:r>
        <w:rPr>
          <w:rFonts w:hint="eastAsia" w:ascii="宋体" w:hAnsi="宋体"/>
          <w:b/>
          <w:bCs/>
        </w:rPr>
        <w:t xml:space="preserve"> </w:t>
      </w:r>
    </w:p>
    <w:p>
      <w:pPr>
        <w:spacing w:line="360" w:lineRule="auto"/>
        <w:rPr>
          <w:rFonts w:hint="eastAsia" w:hAnsi="宋体" w:eastAsia="黑体"/>
        </w:rPr>
      </w:pPr>
      <w:r>
        <w:rPr>
          <w:rFonts w:hint="eastAsia" w:hAnsi="宋体" w:eastAsia="黑体"/>
        </w:rPr>
        <w:t xml:space="preserve"> </w:t>
      </w:r>
    </w:p>
    <w:p>
      <w:pPr>
        <w:spacing w:line="360" w:lineRule="auto"/>
        <w:jc w:val="center"/>
        <w:rPr>
          <w:rFonts w:hint="default" w:hAnsi="宋体"/>
          <w:b/>
          <w:bCs/>
          <w:sz w:val="52"/>
          <w:szCs w:val="52"/>
          <w:lang w:val="en-US"/>
        </w:rPr>
      </w:pPr>
      <w:r>
        <w:rPr>
          <w:rFonts w:hint="eastAsia" w:hAnsi="宋体"/>
          <w:b/>
          <w:bCs/>
          <w:sz w:val="52"/>
          <w:szCs w:val="52"/>
        </w:rPr>
        <w:t>盐城市国有资产</w:t>
      </w:r>
      <w:r>
        <w:rPr>
          <w:rFonts w:hint="eastAsia" w:hAnsi="宋体"/>
          <w:b/>
          <w:bCs/>
          <w:sz w:val="52"/>
          <w:szCs w:val="52"/>
          <w:lang w:val="en-US" w:eastAsia="zh-CN"/>
        </w:rPr>
        <w:t>投资集团采购平台诚信库注册操作手册</w:t>
      </w:r>
    </w:p>
    <w:p>
      <w:pPr>
        <w:pStyle w:val="3"/>
        <w:ind w:left="480" w:firstLine="0" w:firstLineChars="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</w:rPr>
        <w:t xml:space="preserve"> </w:t>
      </w:r>
    </w:p>
    <w:p>
      <w:pPr>
        <w:pStyle w:val="3"/>
        <w:ind w:left="480" w:firstLine="0" w:firstLineChars="0"/>
        <w:rPr>
          <w:rFonts w:hint="eastAsia" w:ascii="宋体" w:hAnsi="宋体"/>
          <w:b/>
          <w:bCs/>
        </w:rPr>
      </w:pPr>
      <w:r>
        <w:rPr>
          <w:rFonts w:ascii="宋体" w:hAnsi="宋体"/>
          <w:b/>
          <w:bCs/>
        </w:rPr>
        <w:t xml:space="preserve"> </w:t>
      </w:r>
    </w:p>
    <w:p>
      <w:pPr>
        <w:spacing w:line="360" w:lineRule="auto"/>
        <w:rPr>
          <w:rFonts w:hAnsi="宋体"/>
        </w:rPr>
      </w:pPr>
      <w:r>
        <w:rPr>
          <w:rFonts w:hAnsi="宋体"/>
        </w:rPr>
        <w:t xml:space="preserve"> </w:t>
      </w:r>
    </w:p>
    <w:p>
      <w:pPr>
        <w:pStyle w:val="3"/>
        <w:ind w:left="480" w:firstLine="0" w:firstLineChars="0"/>
        <w:rPr>
          <w:rFonts w:ascii="宋体" w:hAnsi="宋体" w:eastAsia="黑体"/>
          <w:szCs w:val="21"/>
        </w:rPr>
      </w:pPr>
      <w:r>
        <w:rPr>
          <w:rFonts w:hint="eastAsia" w:ascii="宋体" w:hAnsi="宋体" w:eastAsia="黑体"/>
          <w:szCs w:val="21"/>
        </w:rPr>
        <w:t xml:space="preserve"> </w:t>
      </w:r>
    </w:p>
    <w:p>
      <w:pPr>
        <w:pStyle w:val="3"/>
        <w:ind w:left="480" w:firstLine="0" w:firstLineChars="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</w:rPr>
        <w:t xml:space="preserve"> </w:t>
      </w:r>
    </w:p>
    <w:p>
      <w:pPr>
        <w:widowControl/>
        <w:ind w:right="560" w:firstLine="600"/>
        <w:jc w:val="center"/>
        <w:rPr>
          <w:rFonts w:ascii="Times New Roman"/>
          <w:b/>
          <w:sz w:val="28"/>
          <w:szCs w:val="28"/>
        </w:rPr>
      </w:pPr>
      <w:r>
        <w:rPr>
          <w:rFonts w:hint="eastAsia" w:hAnsi="宋体"/>
          <w:b/>
          <w:bCs/>
        </w:rPr>
        <w:t xml:space="preserve"> </w:t>
      </w:r>
      <w:r>
        <w:rPr>
          <w:rFonts w:ascii="Times New Roman"/>
          <w:b/>
          <w:sz w:val="28"/>
          <w:szCs w:val="28"/>
        </w:rPr>
        <w:t>201</w:t>
      </w:r>
      <w:r>
        <w:rPr>
          <w:rFonts w:hint="eastAsia" w:ascii="Times New Roman"/>
          <w:b/>
          <w:sz w:val="28"/>
          <w:szCs w:val="28"/>
        </w:rPr>
        <w:t>9</w:t>
      </w:r>
      <w:r>
        <w:rPr>
          <w:rFonts w:ascii="Times New Roman"/>
          <w:b/>
          <w:sz w:val="28"/>
          <w:szCs w:val="28"/>
        </w:rPr>
        <w:t>年</w:t>
      </w:r>
      <w:r>
        <w:rPr>
          <w:rFonts w:hint="eastAsia" w:ascii="Times New Roman"/>
          <w:b/>
          <w:sz w:val="28"/>
          <w:szCs w:val="28"/>
          <w:lang w:val="en-US" w:eastAsia="zh-CN"/>
        </w:rPr>
        <w:t>12</w:t>
      </w:r>
      <w:r>
        <w:rPr>
          <w:rFonts w:ascii="Times New Roman"/>
          <w:b/>
          <w:sz w:val="28"/>
          <w:szCs w:val="28"/>
        </w:rPr>
        <w:t>月</w:t>
      </w:r>
    </w:p>
    <w:p>
      <w:pPr>
        <w:pStyle w:val="3"/>
        <w:ind w:left="480" w:firstLine="0" w:firstLineChars="0"/>
        <w:rPr>
          <w:rFonts w:hint="eastAsia" w:ascii="宋体" w:hAnsi="宋体"/>
          <w:b/>
          <w:bCs/>
        </w:rPr>
      </w:pPr>
    </w:p>
    <w:p>
      <w:pPr>
        <w:pStyle w:val="3"/>
        <w:ind w:left="480" w:firstLine="0" w:firstLineChars="0"/>
        <w:rPr>
          <w:rFonts w:hint="eastAsia" w:ascii="宋体" w:hAnsi="宋体"/>
          <w:b/>
          <w:bCs/>
        </w:rPr>
      </w:pPr>
      <w:r>
        <w:rPr>
          <w:rFonts w:hint="eastAsia" w:ascii="宋体" w:hAnsi="宋体"/>
          <w:b/>
          <w:bCs/>
        </w:rPr>
        <w:t xml:space="preserve"> </w:t>
      </w:r>
    </w:p>
    <w:p>
      <w:pPr>
        <w:pStyle w:val="3"/>
        <w:ind w:left="480" w:firstLine="0" w:firstLineChars="0"/>
        <w:rPr>
          <w:rFonts w:hint="eastAsia" w:ascii="宋体" w:hAnsi="宋体"/>
          <w:b/>
          <w:bCs/>
        </w:rPr>
      </w:pPr>
      <w:r>
        <w:rPr>
          <w:rFonts w:hint="eastAsia" w:ascii="宋体" w:hAnsi="宋体"/>
          <w:b/>
          <w:bCs/>
        </w:rPr>
        <w:t xml:space="preserve"> </w:t>
      </w:r>
    </w:p>
    <w:p>
      <w:pPr>
        <w:rPr>
          <w:rFonts w:hint="eastAsia"/>
          <w:sz w:val="32"/>
          <w:szCs w:val="32"/>
        </w:rPr>
      </w:pPr>
      <w:bookmarkStart w:id="1" w:name="_Toc18941586"/>
    </w:p>
    <w:p>
      <w:pPr>
        <w:outlineLvl w:val="0"/>
        <w:rPr>
          <w:rFonts w:hint="default" w:ascii="宋体" w:hAnsi="Times New Roman" w:eastAsia="宋体" w:cs="Times New Roman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宋体" w:hAnsi="Times New Roman" w:eastAsia="宋体" w:cs="Times New Roman"/>
          <w:b/>
          <w:bCs/>
          <w:kern w:val="44"/>
          <w:sz w:val="32"/>
          <w:szCs w:val="32"/>
          <w:lang w:val="en-US" w:eastAsia="zh-CN" w:bidi="ar-SA"/>
        </w:rPr>
        <w:t>一、</w:t>
      </w:r>
      <w:bookmarkEnd w:id="0"/>
      <w:bookmarkEnd w:id="1"/>
      <w:r>
        <w:rPr>
          <w:rFonts w:hint="eastAsia" w:ascii="宋体" w:hAnsi="Times New Roman" w:eastAsia="宋体" w:cs="Times New Roman"/>
          <w:b/>
          <w:bCs/>
          <w:kern w:val="44"/>
          <w:sz w:val="32"/>
          <w:szCs w:val="32"/>
          <w:lang w:val="en-US" w:eastAsia="zh-CN" w:bidi="ar-SA"/>
        </w:rPr>
        <w:t>环境准备</w:t>
      </w:r>
    </w:p>
    <w:p>
      <w:pPr>
        <w:pStyle w:val="4"/>
        <w:numPr>
          <w:ilvl w:val="1"/>
          <w:numId w:val="0"/>
        </w:numPr>
        <w:tabs>
          <w:tab w:val="left" w:pos="720"/>
        </w:tabs>
        <w:spacing w:before="156" w:beforeLines="50" w:after="156" w:afterLines="50" w:line="360" w:lineRule="auto"/>
        <w:ind w:leftChars="0"/>
        <w:rPr>
          <w:rFonts w:ascii="Times New Roman" w:hAnsi="Times New Roman"/>
          <w:bCs/>
          <w:szCs w:val="30"/>
        </w:rPr>
      </w:pPr>
      <w:bookmarkStart w:id="2" w:name="_Toc18941588"/>
      <w:bookmarkStart w:id="3" w:name="_Toc17729983"/>
      <w:bookmarkStart w:id="4" w:name="_Toc18223844"/>
      <w:r>
        <w:rPr>
          <w:rFonts w:hint="eastAsia" w:ascii="Times New Roman" w:hAnsi="Times New Roman"/>
          <w:bCs/>
          <w:szCs w:val="30"/>
          <w:lang w:val="en-US" w:eastAsia="zh-CN"/>
        </w:rPr>
        <w:t>1.1</w:t>
      </w:r>
      <w:r>
        <w:rPr>
          <w:rFonts w:hint="eastAsia" w:ascii="Times New Roman" w:hAnsi="Times New Roman"/>
          <w:bCs/>
          <w:szCs w:val="30"/>
        </w:rPr>
        <w:t>驱动的下载安装</w:t>
      </w:r>
      <w:bookmarkEnd w:id="2"/>
    </w:p>
    <w:p>
      <w:pPr>
        <w:spacing w:line="360" w:lineRule="auto"/>
        <w:rPr>
          <w:rFonts w:hint="default"/>
          <w:lang w:val="en-US"/>
        </w:rPr>
      </w:pPr>
      <w:r>
        <w:rPr>
          <w:rFonts w:hint="eastAsia"/>
        </w:rPr>
        <w:t>登陆</w:t>
      </w:r>
      <w:r>
        <w:rPr>
          <w:rFonts w:hint="eastAsia"/>
          <w:lang w:val="en-US" w:eastAsia="zh-CN"/>
        </w:rPr>
        <w:t>新点标桥下载【新点驱动(江苏省互联互通版)】最新版本驱动；</w:t>
      </w:r>
    </w:p>
    <w:p>
      <w:r>
        <w:drawing>
          <wp:inline distT="0" distB="0" distL="114300" distR="114300">
            <wp:extent cx="723900" cy="866775"/>
            <wp:effectExtent l="0" t="0" r="0" b="952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eastAsia="宋体"/>
          <w:lang w:val="en-US" w:eastAsia="zh-CN"/>
        </w:rPr>
      </w:pPr>
      <w:r>
        <w:t>1、</w:t>
      </w:r>
      <w:r>
        <w:rPr>
          <w:rFonts w:hint="eastAsia"/>
        </w:rPr>
        <w:t>双击安装程序，进入安装页面，如下图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可默认安装在C盘，也可自定义安装；</w:t>
      </w:r>
    </w:p>
    <w:p>
      <w:pPr>
        <w:jc w:val="center"/>
      </w:pPr>
      <w:r>
        <w:drawing>
          <wp:inline distT="0" distB="0" distL="114300" distR="114300">
            <wp:extent cx="5271770" cy="3898900"/>
            <wp:effectExtent l="0" t="0" r="5080" b="635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eastAsia="宋体"/>
          <w:lang w:val="en-US" w:eastAsia="zh-CN"/>
        </w:rPr>
      </w:pPr>
      <w:r>
        <w:t>2、点击</w:t>
      </w:r>
      <w:r>
        <w:rPr>
          <w:rFonts w:hint="eastAsia"/>
          <w:lang w:val="en-US" w:eastAsia="zh-CN"/>
        </w:rPr>
        <w:t>快速安装，选择默认安装地址</w:t>
      </w:r>
      <w:r>
        <w:t>，进入</w:t>
      </w:r>
      <w:r>
        <w:rPr>
          <w:rFonts w:hint="eastAsia"/>
          <w:lang w:val="en-US" w:eastAsia="zh-CN"/>
        </w:rPr>
        <w:t>安装页面；</w:t>
      </w:r>
    </w:p>
    <w:p>
      <w:pPr>
        <w:pStyle w:val="3"/>
        <w:jc w:val="center"/>
        <w:rPr>
          <w:b/>
          <w:spacing w:val="4"/>
        </w:rPr>
      </w:pPr>
    </w:p>
    <w:p>
      <w:pPr>
        <w:jc w:val="center"/>
      </w:pPr>
      <w:r>
        <w:drawing>
          <wp:inline distT="0" distB="0" distL="114300" distR="114300">
            <wp:extent cx="5269865" cy="3697605"/>
            <wp:effectExtent l="0" t="0" r="6985" b="1714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</w:rPr>
        <w:t>点击完成，</w:t>
      </w:r>
      <w:r>
        <w:rPr>
          <w:rFonts w:hint="eastAsia"/>
          <w:lang w:val="en-US" w:eastAsia="zh-CN"/>
        </w:rPr>
        <w:t>完成驱动安装，跳转ca检测页面，表示驱动安装成功，如下图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9230" cy="3952240"/>
            <wp:effectExtent l="0" t="0" r="7620" b="1016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325495"/>
            <wp:effectExtent l="0" t="0" r="6985" b="825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</w:p>
    <w:p/>
    <w:p>
      <w:pPr>
        <w:pStyle w:val="4"/>
        <w:numPr>
          <w:ilvl w:val="1"/>
          <w:numId w:val="5"/>
        </w:numPr>
        <w:tabs>
          <w:tab w:val="left" w:pos="720"/>
        </w:tabs>
        <w:spacing w:before="156" w:beforeLines="50" w:after="156" w:afterLines="50" w:line="360" w:lineRule="auto"/>
        <w:rPr>
          <w:rFonts w:ascii="Times New Roman" w:hAnsi="Times New Roman"/>
          <w:bCs/>
          <w:szCs w:val="30"/>
        </w:rPr>
      </w:pPr>
      <w:bookmarkStart w:id="5" w:name="_Toc18941589"/>
      <w:r>
        <w:rPr>
          <w:rFonts w:hint="eastAsia" w:ascii="Times New Roman" w:hAnsi="Times New Roman"/>
          <w:bCs/>
          <w:szCs w:val="30"/>
        </w:rPr>
        <w:t>IE浏览器设置</w:t>
      </w:r>
      <w:bookmarkEnd w:id="3"/>
      <w:bookmarkEnd w:id="4"/>
      <w:bookmarkEnd w:id="5"/>
    </w:p>
    <w:p>
      <w:pPr>
        <w:spacing w:line="360" w:lineRule="auto"/>
        <w:ind w:firstLine="480" w:firstLineChars="200"/>
        <w:rPr>
          <w:spacing w:val="4"/>
        </w:rPr>
      </w:pPr>
      <w:r>
        <w:rPr>
          <w:rFonts w:hint="eastAsia"/>
        </w:rPr>
        <w:t>为保系统的稳定运行，建议用户使用Internet</w:t>
      </w:r>
      <w:r>
        <w:t xml:space="preserve"> Explorer 9</w:t>
      </w:r>
      <w:r>
        <w:rPr>
          <w:rFonts w:hint="eastAsia"/>
        </w:rPr>
        <w:t>.0及以上版本的浏览器，且浏览器需要进行以下设置：</w:t>
      </w:r>
    </w:p>
    <w:p>
      <w:pPr>
        <w:spacing w:line="360" w:lineRule="auto"/>
      </w:pPr>
      <w:r>
        <w:rPr>
          <w:rFonts w:hint="eastAsia"/>
        </w:rPr>
        <w:t>（1）设置</w:t>
      </w:r>
      <w:r>
        <w:t>受信认的站点</w:t>
      </w:r>
    </w:p>
    <w:p>
      <w:pPr>
        <w:spacing w:line="360" w:lineRule="auto"/>
      </w:pPr>
      <w:r>
        <w:t>使用IE浏览器访问</w:t>
      </w:r>
      <w:r>
        <w:rPr>
          <w:rFonts w:hint="eastAsia"/>
        </w:rPr>
        <w:t>系统</w:t>
      </w:r>
      <w:r>
        <w:t>登录地址，选择浏览器菜单栏“</w:t>
      </w:r>
      <w:r>
        <w:rPr>
          <w:rFonts w:hint="eastAsia"/>
        </w:rPr>
        <w:t>工具</w:t>
      </w:r>
      <w:r>
        <w:t>”—“Internet选项”，进入“安全”选项卡，设置“受信认的站点”，如图：</w:t>
      </w:r>
    </w:p>
    <w:p>
      <w:pPr>
        <w:jc w:val="center"/>
      </w:pPr>
      <w:r>
        <w:drawing>
          <wp:inline distT="0" distB="0" distL="114300" distR="114300">
            <wp:extent cx="4400550" cy="680085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420" w:leftChars="-175"/>
      </w:pPr>
      <w:r>
        <w:t>将</w:t>
      </w:r>
      <w:r>
        <w:rPr>
          <w:rFonts w:hint="eastAsia"/>
        </w:rPr>
        <w:t>http://218.92.169.44，</w:t>
      </w:r>
      <w:r>
        <w:t>添加为受信认站点</w:t>
      </w:r>
      <w:r>
        <w:rPr>
          <w:rFonts w:hint="eastAsia"/>
        </w:rPr>
        <w:t>，完成之后点击关闭按钮。</w:t>
      </w:r>
    </w:p>
    <w:p>
      <w:pPr>
        <w:spacing w:line="360" w:lineRule="auto"/>
        <w:jc w:val="left"/>
      </w:pPr>
      <w:r>
        <w:rPr>
          <w:rFonts w:hint="eastAsia"/>
        </w:rPr>
        <w:t>（2）设置ActiveX组件</w:t>
      </w:r>
    </w:p>
    <w:p>
      <w:pPr>
        <w:spacing w:line="360" w:lineRule="auto"/>
        <w:ind w:firstLine="480" w:firstLineChars="200"/>
        <w:jc w:val="left"/>
      </w:pPr>
      <w:r>
        <w:rPr>
          <w:rFonts w:hint="eastAsia"/>
        </w:rPr>
        <w:t>添加完成受信认站点之后，需设置受信认站点的Active插件访问权限，该操作仍在“安全”选项卡下进行，如图所示：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104640" cy="3990340"/>
            <wp:effectExtent l="0" t="0" r="10160" b="10160"/>
            <wp:docPr id="9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t>首选选中“受信任的站点”，再点击“自定义级别”，进入设置对话框：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3181350" cy="3110865"/>
            <wp:effectExtent l="0" t="0" r="6350" b="635"/>
            <wp:docPr id="9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9956" cy="311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t>将ActiveX控件及插件所属下的所有配置项均设置为“启用”，然后保存退出。</w:t>
      </w:r>
    </w:p>
    <w:p>
      <w:pPr>
        <w:spacing w:line="360" w:lineRule="auto"/>
      </w:pPr>
      <w:r>
        <w:rPr>
          <w:rFonts w:hint="eastAsia"/>
        </w:rPr>
        <w:t>（3）</w:t>
      </w:r>
      <w:r>
        <w:t>兼容性视图设置</w:t>
      </w:r>
    </w:p>
    <w:p>
      <w:pPr>
        <w:spacing w:line="360" w:lineRule="auto"/>
        <w:ind w:firstLine="480" w:firstLineChars="200"/>
      </w:pPr>
      <w:r>
        <w:rPr>
          <w:rFonts w:hint="eastAsia"/>
        </w:rPr>
        <w:t>在IE浏览器的设置选项中，找到兼容性视图设置，将221.231.2.242添加至兼容性视图中。如图所示：</w:t>
      </w:r>
    </w:p>
    <w:p>
      <w:pPr>
        <w:spacing w:line="360" w:lineRule="auto"/>
        <w:ind w:firstLine="480" w:firstLineChars="200"/>
        <w:jc w:val="center"/>
      </w:pPr>
      <w:r>
        <w:drawing>
          <wp:inline distT="0" distB="0" distL="114300" distR="114300">
            <wp:extent cx="4267200" cy="3619500"/>
            <wp:effectExtent l="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6"/>
        </w:numPr>
        <w:spacing w:before="0" w:after="0" w:line="360" w:lineRule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系统操作</w:t>
      </w:r>
    </w:p>
    <w:p>
      <w:pPr>
        <w:pStyle w:val="3"/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供应商，打开浏览器输入系统地址http://218.92.169.44:82/TPBidder登录采购平台会员端，或输入采购平台网站地址http://218.92.169.44:8299/，打开采购平台网站，点击供应商登录，跳转采购平台会员端；</w:t>
      </w:r>
    </w:p>
    <w:p>
      <w:pPr>
        <w:pStyle w:val="3"/>
        <w:numPr>
          <w:ilvl w:val="0"/>
          <w:numId w:val="0"/>
        </w:numPr>
        <w:rPr>
          <w:rFonts w:hint="eastAsia"/>
          <w:lang w:val="en-US" w:eastAsia="zh-CN"/>
        </w:rPr>
      </w:pPr>
      <w:bookmarkStart w:id="6" w:name="_GoBack"/>
      <w:r>
        <w:drawing>
          <wp:inline distT="0" distB="0" distL="114300" distR="114300">
            <wp:extent cx="5265420" cy="1819910"/>
            <wp:effectExtent l="0" t="0" r="11430" b="8890"/>
            <wp:docPr id="4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>
      <w:pPr>
        <w:pStyle w:val="3"/>
        <w:numPr>
          <w:ilvl w:val="0"/>
          <w:numId w:val="0"/>
        </w:numPr>
      </w:pPr>
      <w:r>
        <w:drawing>
          <wp:inline distT="0" distB="0" distL="114300" distR="114300">
            <wp:extent cx="5269230" cy="1946910"/>
            <wp:effectExtent l="0" t="0" r="762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若供应商已注册账号，则输入账号密码或选择CA登录输入CA密码登录系统进行投标操作，若供应商无账号则点击免费注册按钮，注册供应商账号。如下图：</w:t>
      </w:r>
    </w:p>
    <w:p>
      <w:pPr>
        <w:pStyle w:val="3"/>
        <w:numPr>
          <w:ilvl w:val="0"/>
          <w:numId w:val="0"/>
        </w:numPr>
      </w:pPr>
      <w:r>
        <w:drawing>
          <wp:inline distT="0" distB="0" distL="114300" distR="114300">
            <wp:extent cx="5265420" cy="2275840"/>
            <wp:effectExtent l="0" t="0" r="1143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供应商登录以后在招标公告菜单中选择需要投标的项目；</w:t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71135" cy="2324100"/>
            <wp:effectExtent l="0" t="0" r="571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点击【我要报名】按钮，跳转信息填写页面，完善投标信息，点击【我要投标】完成投标报名；</w:t>
      </w:r>
    </w:p>
    <w:p>
      <w:pPr>
        <w:pStyle w:val="3"/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14575"/>
            <wp:effectExtent l="0" t="0" r="762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r>
        <w:drawing>
          <wp:inline distT="0" distB="0" distL="114300" distR="114300">
            <wp:extent cx="5269865" cy="2304415"/>
            <wp:effectExtent l="0" t="0" r="6985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完成后，供应商点击【网上支付】按钮，支付标书费用，标书费支付方式有：个人网银支付、微信/支付宝扫码支付，标书费用支付完成后可点击【查看支付情况】查看标书费用是否支付成功，并下载招标文件；</w:t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67960" cy="2226310"/>
            <wp:effectExtent l="0" t="0" r="8890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69865" cy="2219325"/>
            <wp:effectExtent l="0" t="0" r="6985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71135" cy="2107565"/>
            <wp:effectExtent l="0" t="0" r="5715" b="698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820545"/>
            <wp:effectExtent l="0" t="0" r="8255" b="825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68595" cy="1812925"/>
            <wp:effectExtent l="0" t="0" r="8255" b="1587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72405" cy="1415415"/>
            <wp:effectExtent l="0" t="0" r="4445" b="1333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招标文件下载完成后，使用投标文件制作工具</w:t>
      </w:r>
      <w:r>
        <w:drawing>
          <wp:inline distT="0" distB="0" distL="114300" distR="114300">
            <wp:extent cx="771525" cy="914400"/>
            <wp:effectExtent l="0" t="0" r="9525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制作投标文件；</w:t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66055" cy="2572385"/>
            <wp:effectExtent l="0" t="0" r="10795" b="1841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导入招标文件后，根据招标文件内容依次编写投标文件，并对投标文件需要签章的页面进行签章，最后生成投标文件；</w:t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61610" cy="2379980"/>
            <wp:effectExtent l="0" t="0" r="15240" b="127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69230" cy="2588260"/>
            <wp:effectExtent l="0" t="0" r="7620" b="254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69230" cy="2519045"/>
            <wp:effectExtent l="0" t="0" r="7620" b="14605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投标文件内容编写完成后，依次点击转换/批量转换、标书签章、预览标书、生成标书、完成按钮，完成投标文件的制作；</w:t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69230" cy="2511425"/>
            <wp:effectExtent l="0" t="0" r="7620" b="3175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71135" cy="2479040"/>
            <wp:effectExtent l="0" t="0" r="5715" b="1651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799715"/>
            <wp:effectExtent l="0" t="0" r="13970" b="635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669540"/>
            <wp:effectExtent l="0" t="0" r="7620" b="1651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投标文件制作完成后，供应商把制作好的投标文件上传系统，若非本项目或本单位投标文件无法上传，文件上传完成后等待开标时间到后进行开评标；</w:t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66055" cy="2234565"/>
            <wp:effectExtent l="0" t="0" r="10795" b="1333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65420" cy="2225675"/>
            <wp:effectExtent l="0" t="0" r="11430" b="3175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开标时间到后，供应商可到国投集团指定地点进行开评标，也可在家中登录系统带工作人员确认开始解密后远程进行解密，解密完成后等待工作人员和专家的后续操作；</w:t>
      </w:r>
    </w:p>
    <w:p>
      <w:pPr>
        <w:pStyle w:val="3"/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247265"/>
            <wp:effectExtent l="0" t="0" r="3810" b="63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69230" cy="2303145"/>
            <wp:effectExtent l="0" t="0" r="7620" b="19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69230" cy="2179320"/>
            <wp:effectExtent l="0" t="0" r="7620" b="11430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71135" cy="2207895"/>
            <wp:effectExtent l="0" t="0" r="5715" b="1905"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待开评标以及中标结果公告发布后，若本单位是中标单位，则点击中标通知书查看按钮，可查看电子档中标通知书，若不是中标单位，则会提示本单位非中标单位；</w:t>
      </w:r>
    </w:p>
    <w:p>
      <w:pPr>
        <w:pStyle w:val="3"/>
        <w:numPr>
          <w:numId w:val="0"/>
        </w:numPr>
      </w:pPr>
      <w:r>
        <w:drawing>
          <wp:inline distT="0" distB="0" distL="114300" distR="114300">
            <wp:extent cx="5268595" cy="2120265"/>
            <wp:effectExtent l="0" t="0" r="8255" b="13335"/>
            <wp:docPr id="4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若确定本单位是中标单位，则合同签订等后续操作在线下进行。</w:t>
      </w:r>
    </w:p>
    <w:p>
      <w:pPr>
        <w:pStyle w:val="3"/>
        <w:numPr>
          <w:numId w:val="0"/>
        </w:numPr>
        <w:ind w:leftChars="200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25819055"/>
      <w:docPartObj>
        <w:docPartGallery w:val="autotext"/>
      </w:docPartObj>
    </w:sdtPr>
    <w:sdtContent>
      <w:p>
        <w:pPr>
          <w:pStyle w:val="11"/>
          <w:jc w:val="center"/>
        </w:pPr>
        <w:r>
          <w:t>1</w:t>
        </w:r>
      </w:p>
    </w:sdtContent>
  </w:sdt>
  <w:p>
    <w:pPr>
      <w:pStyle w:val="11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EDD5B5"/>
    <w:multiLevelType w:val="singleLevel"/>
    <w:tmpl w:val="F0EDD5B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000018"/>
    <w:multiLevelType w:val="multilevel"/>
    <w:tmpl w:val="00000018"/>
    <w:lvl w:ilvl="0" w:tentative="0">
      <w:start w:val="1"/>
      <w:numFmt w:val="decimal"/>
      <w:lvlText w:val="%1."/>
      <w:lvlJc w:val="left"/>
      <w:pPr>
        <w:tabs>
          <w:tab w:val="left" w:pos="432"/>
        </w:tabs>
        <w:ind w:left="432" w:hanging="432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pStyle w:val="4"/>
      <w:lvlText w:val="%1.%2."/>
      <w:lvlJc w:val="left"/>
      <w:pPr>
        <w:tabs>
          <w:tab w:val="left" w:pos="576"/>
        </w:tabs>
        <w:ind w:left="576" w:hanging="576"/>
      </w:pPr>
      <w:rPr>
        <w:rFonts w:hint="default" w:ascii="Times New Roman" w:hAnsi="Times New Roman" w:cs="Times New Roman"/>
        <w:sz w:val="30"/>
        <w:szCs w:val="30"/>
      </w:rPr>
    </w:lvl>
    <w:lvl w:ilvl="2" w:tentative="0">
      <w:start w:val="1"/>
      <w:numFmt w:val="decimal"/>
      <w:lvlText w:val="%1.%2.%3."/>
      <w:lvlJc w:val="left"/>
      <w:pPr>
        <w:tabs>
          <w:tab w:val="left" w:pos="1647"/>
        </w:tabs>
        <w:ind w:left="1287" w:hanging="720"/>
      </w:pPr>
      <w:rPr>
        <w:rFonts w:hint="eastAsia"/>
        <w:sz w:val="28"/>
        <w:szCs w:val="28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1FB51CD3"/>
    <w:multiLevelType w:val="multilevel"/>
    <w:tmpl w:val="1FB51CD3"/>
    <w:lvl w:ilvl="0" w:tentative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6857717"/>
    <w:multiLevelType w:val="multilevel"/>
    <w:tmpl w:val="26857717"/>
    <w:lvl w:ilvl="0" w:tentative="0">
      <w:start w:val="1"/>
      <w:numFmt w:val="chineseCountingThousand"/>
      <w:lvlText w:val="%1、"/>
      <w:lvlJc w:val="left"/>
      <w:pPr>
        <w:tabs>
          <w:tab w:val="left" w:pos="709"/>
        </w:tabs>
        <w:ind w:left="709" w:hanging="425"/>
      </w:pPr>
    </w:lvl>
    <w:lvl w:ilvl="1" w:tentative="0">
      <w:start w:val="1"/>
      <w:numFmt w:val="decimal"/>
      <w:isLgl/>
      <w:lvlText w:val="%1.%2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isLgl/>
      <w:lvlText w:val="%1.%2.%3"/>
      <w:lvlJc w:val="left"/>
      <w:pPr>
        <w:tabs>
          <w:tab w:val="left" w:pos="1069"/>
        </w:tabs>
        <w:ind w:left="1069" w:hanging="709"/>
      </w:pPr>
    </w:lvl>
    <w:lvl w:ilvl="3" w:tentative="0">
      <w:start w:val="1"/>
      <w:numFmt w:val="decimal"/>
      <w:pStyle w:val="6"/>
      <w:isLgl/>
      <w:lvlText w:val="%1.%2.%3.%4"/>
      <w:lvlJc w:val="left"/>
      <w:pPr>
        <w:tabs>
          <w:tab w:val="left" w:pos="1080"/>
        </w:tabs>
        <w:ind w:left="851" w:hanging="851"/>
      </w:pPr>
    </w:lvl>
    <w:lvl w:ilvl="4" w:tentative="0">
      <w:start w:val="1"/>
      <w:numFmt w:val="decimal"/>
      <w:isLgl/>
      <w:lvlText w:val="%1.%2.%3.%4.%5"/>
      <w:lvlJc w:val="left"/>
      <w:pPr>
        <w:tabs>
          <w:tab w:val="left" w:pos="1440"/>
        </w:tabs>
        <w:ind w:left="992" w:hanging="992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440"/>
        </w:tabs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4">
    <w:nsid w:val="2F367D19"/>
    <w:multiLevelType w:val="singleLevel"/>
    <w:tmpl w:val="2F367D19"/>
    <w:lvl w:ilvl="0" w:tentative="0">
      <w:start w:val="1"/>
      <w:numFmt w:val="decimal"/>
      <w:pStyle w:val="7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5">
    <w:nsid w:val="520498CE"/>
    <w:multiLevelType w:val="singleLevel"/>
    <w:tmpl w:val="520498CE"/>
    <w:lvl w:ilvl="0" w:tentative="0">
      <w:start w:val="3"/>
      <w:numFmt w:val="decimal"/>
      <w:suff w:val="nothing"/>
      <w:lvlText w:val="%1、"/>
      <w:lvlJc w:val="left"/>
    </w:lvl>
  </w:abstractNum>
  <w:abstractNum w:abstractNumId="6">
    <w:nsid w:val="6239D73F"/>
    <w:multiLevelType w:val="singleLevel"/>
    <w:tmpl w:val="6239D73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EFB"/>
    <w:rsid w:val="001C3853"/>
    <w:rsid w:val="006A1EFB"/>
    <w:rsid w:val="007133F3"/>
    <w:rsid w:val="00972291"/>
    <w:rsid w:val="00AE739B"/>
    <w:rsid w:val="00C06D5A"/>
    <w:rsid w:val="00CB4CE1"/>
    <w:rsid w:val="00DB2177"/>
    <w:rsid w:val="00DD28B4"/>
    <w:rsid w:val="00F46471"/>
    <w:rsid w:val="020063BE"/>
    <w:rsid w:val="02BD2154"/>
    <w:rsid w:val="02BD540A"/>
    <w:rsid w:val="032F3573"/>
    <w:rsid w:val="04407090"/>
    <w:rsid w:val="05010542"/>
    <w:rsid w:val="06763486"/>
    <w:rsid w:val="06D94287"/>
    <w:rsid w:val="09F747D9"/>
    <w:rsid w:val="0B05147C"/>
    <w:rsid w:val="0BB40F5F"/>
    <w:rsid w:val="0DED1F91"/>
    <w:rsid w:val="0E7E0FFA"/>
    <w:rsid w:val="0FE206BA"/>
    <w:rsid w:val="102D3D0C"/>
    <w:rsid w:val="110700B9"/>
    <w:rsid w:val="130D5E29"/>
    <w:rsid w:val="13470785"/>
    <w:rsid w:val="14377FBB"/>
    <w:rsid w:val="14D40A82"/>
    <w:rsid w:val="15DB676F"/>
    <w:rsid w:val="1856709C"/>
    <w:rsid w:val="190D4CDA"/>
    <w:rsid w:val="1A1324C9"/>
    <w:rsid w:val="1A74472B"/>
    <w:rsid w:val="1E82472A"/>
    <w:rsid w:val="2054435F"/>
    <w:rsid w:val="20B24EEC"/>
    <w:rsid w:val="219016F3"/>
    <w:rsid w:val="23B75CB7"/>
    <w:rsid w:val="242D1D1E"/>
    <w:rsid w:val="267F1DB1"/>
    <w:rsid w:val="26B85FE9"/>
    <w:rsid w:val="26F50C41"/>
    <w:rsid w:val="2BB4435A"/>
    <w:rsid w:val="2C025D49"/>
    <w:rsid w:val="2ECB5E70"/>
    <w:rsid w:val="313D3958"/>
    <w:rsid w:val="32AB5033"/>
    <w:rsid w:val="3375258B"/>
    <w:rsid w:val="34787672"/>
    <w:rsid w:val="355F5D6A"/>
    <w:rsid w:val="36394D3A"/>
    <w:rsid w:val="382C6B4B"/>
    <w:rsid w:val="3AC31C04"/>
    <w:rsid w:val="3C821129"/>
    <w:rsid w:val="3F7C6B69"/>
    <w:rsid w:val="41860BE5"/>
    <w:rsid w:val="437C72C1"/>
    <w:rsid w:val="44DF5E90"/>
    <w:rsid w:val="45452B33"/>
    <w:rsid w:val="46337CD1"/>
    <w:rsid w:val="49963B34"/>
    <w:rsid w:val="499648F2"/>
    <w:rsid w:val="4A80474B"/>
    <w:rsid w:val="4B2E1CAD"/>
    <w:rsid w:val="4BF36509"/>
    <w:rsid w:val="4C410CFF"/>
    <w:rsid w:val="4D9F7EB7"/>
    <w:rsid w:val="4FB12011"/>
    <w:rsid w:val="54A976F6"/>
    <w:rsid w:val="56162A85"/>
    <w:rsid w:val="56264602"/>
    <w:rsid w:val="56B25E22"/>
    <w:rsid w:val="573C22C1"/>
    <w:rsid w:val="57700FEB"/>
    <w:rsid w:val="59262220"/>
    <w:rsid w:val="59565849"/>
    <w:rsid w:val="5AE617FB"/>
    <w:rsid w:val="5BAB39B3"/>
    <w:rsid w:val="5C217A69"/>
    <w:rsid w:val="5C38118A"/>
    <w:rsid w:val="5C835B51"/>
    <w:rsid w:val="5DBC1872"/>
    <w:rsid w:val="5F696D96"/>
    <w:rsid w:val="605F0ECB"/>
    <w:rsid w:val="61377BAE"/>
    <w:rsid w:val="634A61F5"/>
    <w:rsid w:val="64A469F0"/>
    <w:rsid w:val="660E569B"/>
    <w:rsid w:val="66187809"/>
    <w:rsid w:val="66B17F1B"/>
    <w:rsid w:val="66F32124"/>
    <w:rsid w:val="68055F99"/>
    <w:rsid w:val="698D0B3F"/>
    <w:rsid w:val="69F358CF"/>
    <w:rsid w:val="6B802C66"/>
    <w:rsid w:val="6BF7797D"/>
    <w:rsid w:val="6BFE1A17"/>
    <w:rsid w:val="6C10481F"/>
    <w:rsid w:val="6C6B1328"/>
    <w:rsid w:val="6CC8559F"/>
    <w:rsid w:val="6CF06402"/>
    <w:rsid w:val="6D4D2501"/>
    <w:rsid w:val="6F3A5E71"/>
    <w:rsid w:val="6FF7209C"/>
    <w:rsid w:val="70F172C1"/>
    <w:rsid w:val="711632A9"/>
    <w:rsid w:val="7132580A"/>
    <w:rsid w:val="714B6756"/>
    <w:rsid w:val="71C16761"/>
    <w:rsid w:val="71E01E32"/>
    <w:rsid w:val="72C83D1F"/>
    <w:rsid w:val="73441275"/>
    <w:rsid w:val="74646A74"/>
    <w:rsid w:val="75D92303"/>
    <w:rsid w:val="760D1E3B"/>
    <w:rsid w:val="774B1CC2"/>
    <w:rsid w:val="778B3B1A"/>
    <w:rsid w:val="7A2B432E"/>
    <w:rsid w:val="7C16579B"/>
    <w:rsid w:val="7D7458E2"/>
    <w:rsid w:val="7E1B1B09"/>
    <w:rsid w:val="7EA23995"/>
    <w:rsid w:val="7EBC0E7E"/>
    <w:rsid w:val="7F430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qFormat="1"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260" w:after="260"/>
      <w:outlineLvl w:val="1"/>
    </w:pPr>
    <w:rPr>
      <w:rFonts w:hAnsi="宋体"/>
      <w:b/>
      <w:sz w:val="30"/>
      <w:szCs w:val="32"/>
    </w:rPr>
  </w:style>
  <w:style w:type="paragraph" w:styleId="5">
    <w:name w:val="heading 3"/>
    <w:basedOn w:val="1"/>
    <w:next w:val="3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link w:val="23"/>
    <w:qFormat/>
    <w:uiPriority w:val="0"/>
    <w:pPr>
      <w:keepNext/>
      <w:keepLines/>
      <w:numPr>
        <w:ilvl w:val="3"/>
        <w:numId w:val="2"/>
      </w:numPr>
      <w:tabs>
        <w:tab w:val="left" w:pos="504"/>
        <w:tab w:val="left" w:pos="709"/>
      </w:tabs>
      <w:spacing w:before="280" w:after="290" w:line="376" w:lineRule="auto"/>
      <w:outlineLvl w:val="3"/>
    </w:pPr>
    <w:rPr>
      <w:rFonts w:ascii="Arial" w:hAnsi="Arial" w:eastAsia="黑体"/>
      <w:b/>
      <w:bCs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Indent Normal"/>
    <w:basedOn w:val="1"/>
    <w:qFormat/>
    <w:uiPriority w:val="0"/>
    <w:pPr>
      <w:ind w:firstLine="420" w:firstLineChars="200"/>
    </w:pPr>
    <w:rPr>
      <w:rFonts w:ascii="Calibri" w:hAnsi="Calibri"/>
      <w:sz w:val="21"/>
      <w:szCs w:val="22"/>
    </w:rPr>
  </w:style>
  <w:style w:type="paragraph" w:styleId="7">
    <w:name w:val="List Number 2"/>
    <w:basedOn w:val="1"/>
    <w:qFormat/>
    <w:uiPriority w:val="0"/>
    <w:pPr>
      <w:numPr>
        <w:ilvl w:val="0"/>
        <w:numId w:val="3"/>
      </w:numPr>
    </w:pPr>
  </w:style>
  <w:style w:type="paragraph" w:styleId="8">
    <w:name w:val="Normal Indent"/>
    <w:basedOn w:val="1"/>
    <w:qFormat/>
    <w:uiPriority w:val="99"/>
    <w:pPr>
      <w:tabs>
        <w:tab w:val="left" w:pos="720"/>
      </w:tabs>
      <w:spacing w:before="60" w:after="60" w:line="360" w:lineRule="auto"/>
      <w:ind w:firstLine="480"/>
    </w:pPr>
    <w:rPr>
      <w:szCs w:val="20"/>
    </w:rPr>
  </w:style>
  <w:style w:type="paragraph" w:styleId="9">
    <w:name w:val="Body Text Indent"/>
    <w:basedOn w:val="1"/>
    <w:qFormat/>
    <w:uiPriority w:val="0"/>
    <w:pPr>
      <w:spacing w:after="120"/>
      <w:ind w:left="420" w:leftChars="200"/>
    </w:pPr>
    <w:rPr>
      <w:sz w:val="21"/>
    </w:rPr>
  </w:style>
  <w:style w:type="paragraph" w:styleId="10">
    <w:name w:val="toc 3"/>
    <w:basedOn w:val="1"/>
    <w:next w:val="1"/>
    <w:qFormat/>
    <w:uiPriority w:val="39"/>
    <w:pPr>
      <w:ind w:left="840" w:leftChars="400"/>
    </w:pPr>
  </w:style>
  <w:style w:type="paragraph" w:styleId="11">
    <w:name w:val="footer"/>
    <w:basedOn w:val="1"/>
    <w:link w:val="3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2"/>
    <w:basedOn w:val="1"/>
    <w:next w:val="1"/>
    <w:qFormat/>
    <w:uiPriority w:val="39"/>
    <w:pPr>
      <w:ind w:left="420" w:leftChars="200"/>
    </w:pPr>
  </w:style>
  <w:style w:type="character" w:styleId="17">
    <w:name w:val="Emphasis"/>
    <w:basedOn w:val="16"/>
    <w:qFormat/>
    <w:uiPriority w:val="20"/>
    <w:rPr>
      <w:b/>
      <w:bCs/>
    </w:rPr>
  </w:style>
  <w:style w:type="character" w:styleId="18">
    <w:name w:val="Hyperlink"/>
    <w:qFormat/>
    <w:uiPriority w:val="99"/>
    <w:rPr>
      <w:color w:val="0000FF"/>
      <w:u w:val="single"/>
    </w:rPr>
  </w:style>
  <w:style w:type="paragraph" w:customStyle="1" w:styleId="19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0">
    <w:name w:val="文章正文"/>
    <w:basedOn w:val="1"/>
    <w:qFormat/>
    <w:uiPriority w:val="0"/>
    <w:pPr>
      <w:ind w:firstLine="420" w:firstLineChars="200"/>
    </w:pPr>
    <w:rPr>
      <w:rFonts w:hAnsi="宋体"/>
      <w:lang w:val="zh-CN"/>
    </w:rPr>
  </w:style>
  <w:style w:type="paragraph" w:customStyle="1" w:styleId="21">
    <w:name w:val="无首行缩进正文"/>
    <w:basedOn w:val="20"/>
    <w:qFormat/>
    <w:uiPriority w:val="0"/>
    <w:pPr>
      <w:ind w:firstLine="0"/>
    </w:pPr>
  </w:style>
  <w:style w:type="paragraph" w:customStyle="1" w:styleId="22">
    <w:name w:val="正文2"/>
    <w:basedOn w:val="1"/>
    <w:qFormat/>
    <w:uiPriority w:val="0"/>
    <w:pPr>
      <w:spacing w:before="156" w:line="360" w:lineRule="auto"/>
      <w:ind w:firstLine="510" w:firstLineChars="200"/>
    </w:pPr>
    <w:rPr>
      <w:rFonts w:ascii="Times New Roman"/>
      <w:szCs w:val="20"/>
    </w:rPr>
  </w:style>
  <w:style w:type="character" w:customStyle="1" w:styleId="23">
    <w:name w:val="标题 4 字符"/>
    <w:link w:val="6"/>
    <w:qFormat/>
    <w:uiPriority w:val="0"/>
    <w:rPr>
      <w:rFonts w:ascii="Arial" w:hAnsi="Arial" w:eastAsia="黑体"/>
      <w:b/>
      <w:bCs/>
      <w:szCs w:val="28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  <w:sz w:val="21"/>
      <w:szCs w:val="22"/>
    </w:rPr>
  </w:style>
  <w:style w:type="paragraph" w:customStyle="1" w:styleId="25">
    <w:name w:val="_Style 4"/>
    <w:basedOn w:val="1"/>
    <w:qFormat/>
    <w:uiPriority w:val="0"/>
    <w:pPr>
      <w:widowControl/>
      <w:spacing w:before="100" w:beforeAutospacing="1" w:after="100" w:afterAutospacing="1" w:line="360" w:lineRule="auto"/>
      <w:ind w:left="42" w:leftChars="42" w:right="42" w:rightChars="42" w:firstLine="200" w:firstLineChars="200"/>
      <w:jc w:val="left"/>
    </w:pPr>
    <w:rPr>
      <w:rFonts w:hAnsi="宋体" w:cs="宋体"/>
      <w:kern w:val="0"/>
    </w:rPr>
  </w:style>
  <w:style w:type="paragraph" w:customStyle="1" w:styleId="26">
    <w:name w:val="1"/>
    <w:basedOn w:val="1"/>
    <w:qFormat/>
    <w:uiPriority w:val="0"/>
    <w:pPr>
      <w:spacing w:line="360" w:lineRule="auto"/>
      <w:jc w:val="left"/>
    </w:pPr>
  </w:style>
  <w:style w:type="paragraph" w:customStyle="1" w:styleId="27">
    <w:name w:val="样式1"/>
    <w:basedOn w:val="1"/>
    <w:qFormat/>
    <w:uiPriority w:val="0"/>
    <w:pPr>
      <w:spacing w:line="300" w:lineRule="auto"/>
      <w:ind w:firstLine="480" w:firstLineChars="200"/>
    </w:pPr>
  </w:style>
  <w:style w:type="paragraph" w:styleId="28">
    <w:name w:val="No Spacing"/>
    <w:qFormat/>
    <w:uiPriority w:val="99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目录 31"/>
    <w:basedOn w:val="1"/>
    <w:next w:val="1"/>
    <w:qFormat/>
    <w:uiPriority w:val="0"/>
    <w:pPr>
      <w:widowControl/>
      <w:spacing w:before="100" w:beforeAutospacing="1" w:after="100" w:afterAutospacing="1"/>
      <w:ind w:left="840" w:leftChars="400"/>
      <w:jc w:val="left"/>
    </w:pPr>
    <w:rPr>
      <w:rFonts w:ascii="Times New Roman"/>
      <w:sz w:val="21"/>
      <w:szCs w:val="21"/>
    </w:rPr>
  </w:style>
  <w:style w:type="paragraph" w:customStyle="1" w:styleId="30">
    <w:name w:val="目录 21"/>
    <w:basedOn w:val="1"/>
    <w:next w:val="1"/>
    <w:qFormat/>
    <w:uiPriority w:val="0"/>
    <w:pPr>
      <w:widowControl/>
      <w:spacing w:before="100" w:beforeAutospacing="1" w:after="100" w:afterAutospacing="1"/>
      <w:ind w:left="420" w:leftChars="200"/>
      <w:jc w:val="left"/>
    </w:pPr>
    <w:rPr>
      <w:rFonts w:ascii="Times New Roman"/>
      <w:sz w:val="21"/>
      <w:szCs w:val="21"/>
    </w:rPr>
  </w:style>
  <w:style w:type="paragraph" w:customStyle="1" w:styleId="31">
    <w:name w:val="目录 11"/>
    <w:basedOn w:val="1"/>
    <w:next w:val="1"/>
    <w:qFormat/>
    <w:uiPriority w:val="0"/>
    <w:pPr>
      <w:widowControl/>
      <w:jc w:val="left"/>
    </w:pPr>
    <w:rPr>
      <w:rFonts w:ascii="Times New Roman"/>
      <w:sz w:val="21"/>
      <w:szCs w:val="21"/>
    </w:rPr>
  </w:style>
  <w:style w:type="character" w:customStyle="1" w:styleId="32">
    <w:name w:val="15"/>
    <w:basedOn w:val="16"/>
    <w:qFormat/>
    <w:uiPriority w:val="0"/>
    <w:rPr>
      <w:rFonts w:hint="default" w:ascii="Times New Roman" w:hAnsi="Times New Roman" w:cs="Times New Roman"/>
      <w:color w:val="0000FF"/>
      <w:u w:val="single"/>
    </w:rPr>
  </w:style>
  <w:style w:type="paragraph" w:customStyle="1" w:styleId="3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4">
    <w:name w:val="页脚 字符"/>
    <w:basedOn w:val="16"/>
    <w:link w:val="11"/>
    <w:qFormat/>
    <w:uiPriority w:val="99"/>
    <w:rPr>
      <w:rFonts w:ascii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customXml" Target="../customXml/item2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84894F-4309-4307-B26F-124C409473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600</Words>
  <Characters>3423</Characters>
  <Lines>28</Lines>
  <Paragraphs>8</Paragraphs>
  <TotalTime>0</TotalTime>
  <ScaleCrop>false</ScaleCrop>
  <LinksUpToDate>false</LinksUpToDate>
  <CharactersWithSpaces>4015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2019-09-08T11:24:00Z</dcterms:created>
  <dc:creator>hyx</dc:creator>
  <cp:lastModifiedBy>人生若只如初见</cp:lastModifiedBy>
  <dcterms:modified xsi:type="dcterms:W3CDTF">2019-12-09T12:14:32Z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